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rPr>
          <w:rFonts w:ascii="PT Astra Serif" w:hAnsi="PT Astra Serif" w:eastAsia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b/>
          <w:bCs/>
          <w:iCs/>
          <w:sz w:val="28"/>
          <w:szCs w:val="28"/>
          <w:lang w:eastAsia="ru-RU"/>
        </w:rPr>
        <w:t xml:space="preserve">ОБЪЕМ СРЕДСТВ КРАЕВОГО БЮДЖЕТА</w:t>
      </w:r>
      <w:r/>
    </w:p>
    <w:p>
      <w:pPr>
        <w:ind w:firstLine="709"/>
        <w:jc w:val="center"/>
        <w:spacing w:after="0" w:line="240" w:lineRule="auto"/>
        <w:rPr>
          <w:rFonts w:ascii="PT Astra Serif" w:hAnsi="PT Astra Serif" w:eastAsia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b/>
          <w:bCs/>
          <w:iCs/>
          <w:sz w:val="28"/>
          <w:szCs w:val="28"/>
          <w:lang w:eastAsia="ru-RU"/>
        </w:rPr>
      </w:r>
      <w:r/>
    </w:p>
    <w:p>
      <w:pPr>
        <w:pStyle w:val="668"/>
        <w:ind w:firstLine="709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Главным распорядителем бюджетных средств, до которого </w:t>
      </w:r>
      <w:r>
        <w:rPr>
          <w:rFonts w:ascii="PT Astra Serif" w:hAnsi="PT Astra Serif"/>
          <w:sz w:val="28"/>
          <w:szCs w:val="28"/>
        </w:rPr>
        <w:br/>
        <w:t xml:space="preserve">в установленном порядке доведены лимиты бюджетных обязательств на предоставление субсидии на текущий финансовый год и плановый период, является управление Алтайского края по развитию туризма </w:t>
      </w:r>
      <w:r>
        <w:rPr>
          <w:rFonts w:ascii="PT Astra Serif" w:hAnsi="PT Astra Serif"/>
          <w:sz w:val="28"/>
          <w:szCs w:val="28"/>
        </w:rPr>
        <w:br/>
        <w:t xml:space="preserve">и курортной деятельности</w:t>
      </w:r>
      <w:r>
        <w:rPr>
          <w:rFonts w:ascii="PT Astra Serif" w:hAnsi="PT Astra Serif"/>
          <w:sz w:val="28"/>
          <w:szCs w:val="28"/>
        </w:rPr>
        <w:t xml:space="preserve"> (почтовый и фактический адрес: 656049, г. Барнаул, пр. Ленина, д. 41;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  <w:u w:val="none"/>
        </w:rPr>
      </w:r>
      <w:hyperlink r:id="rId9" w:tooltip="mailto:priem@alttur22.ru" w:history="1">
        <w:r>
          <w:rPr>
            <w:rStyle w:val="669"/>
            <w:rFonts w:ascii="PT Astra Serif" w:hAnsi="PT Astra Serif" w:eastAsia="Arial" w:cs="PT Astra Serif"/>
            <w:color w:val="000000" w:themeColor="text1"/>
            <w:sz w:val="28"/>
            <w:szCs w:val="28"/>
            <w:highlight w:val="none"/>
            <w:u w:val="none"/>
          </w:rPr>
          <w:t xml:space="preserve">priem@tourism.alregn.ru</w:t>
        </w:r>
      </w:hyperlink>
      <w:r>
        <w:rPr>
          <w:rFonts w:ascii="PT Astra Serif" w:hAnsi="PT Astra Serif"/>
          <w:sz w:val="28"/>
          <w:szCs w:val="28"/>
        </w:rPr>
        <w:t xml:space="preserve">)</w:t>
      </w:r>
      <w:r>
        <w:rPr>
          <w:rFonts w:ascii="PT Astra Serif" w:hAnsi="PT Astra Serif"/>
          <w:sz w:val="28"/>
          <w:szCs w:val="28"/>
        </w:rPr>
        <w:t xml:space="preserve">. </w:t>
      </w:r>
      <w:r/>
    </w:p>
    <w:p>
      <w:pPr>
        <w:pStyle w:val="668"/>
        <w:ind w:firstLine="709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В 202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году общий размер предоставляемой 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грантовой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 поддержки 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br/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целью реализации:</w:t>
      </w:r>
      <w:r/>
    </w:p>
    <w:p>
      <w:pPr>
        <w:pStyle w:val="668"/>
        <w:ind w:firstLine="709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а) 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некоммерческими организациями социально значимых проектов, ориентированных на развитие туризма в регионе, составляет 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br/>
      </w:r>
      <w:r>
        <w:rPr>
          <w:rFonts w:ascii="PT Astra Serif" w:hAnsi="PT Astra Serif"/>
          <w:sz w:val="28"/>
          <w:szCs w:val="28"/>
        </w:rPr>
        <w:t xml:space="preserve">1 500 000, 00 рублей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;</w:t>
      </w:r>
      <w:r/>
    </w:p>
    <w:p>
      <w:pPr>
        <w:pStyle w:val="668"/>
        <w:ind w:firstLine="709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б) 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юридическими лицами и индивидуальными предпринимателями проектов по организации туристско-экскурсионных поездок по Алтайскому краю для граждан, находящихся в трудной жизненной ситуации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 составляет 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br/>
        <w:t xml:space="preserve">5</w:t>
      </w:r>
      <w:r>
        <w:rPr>
          <w:rFonts w:ascii="PT Astra Serif" w:hAnsi="PT Astra Serif"/>
          <w:sz w:val="28"/>
          <w:szCs w:val="28"/>
        </w:rPr>
        <w:t xml:space="preserve">00 000, 00 рублей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;</w:t>
      </w:r>
      <w:r/>
    </w:p>
    <w:p>
      <w:pPr>
        <w:pStyle w:val="668"/>
        <w:ind w:firstLine="709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в) 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юридическими лицами и индивидуальными предпринимателями социальных проектов, направленных на оборудование</w:t>
      </w:r>
      <w:bookmarkStart w:id="0" w:name="_GoBack"/>
      <w:r/>
      <w:bookmarkEnd w:id="0"/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 коллективных средств размещения для приема туристов с ограниченными возможностями здоровья, объектов показа необходимой инфраструктурой для прием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а туристов - 0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;</w:t>
      </w:r>
      <w:r/>
    </w:p>
    <w:p>
      <w:pPr>
        <w:pStyle w:val="668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г) некоммерческими организациями соц</w:t>
      </w:r>
      <w:r>
        <w:rPr>
          <w:rFonts w:ascii="PT Astra Serif" w:hAnsi="PT Astra Serif"/>
          <w:sz w:val="28"/>
          <w:szCs w:val="28"/>
        </w:rPr>
        <w:t xml:space="preserve">иально значимых проектов, ориентированных на развитие туризма в регионе - обустройства объектов показа, включенных в предварительный список всемирного культурного и природного наследия ЮНЕСКО от Российской Федерации, необходимой туристской инфраструктурой 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составляет </w:t>
      </w:r>
      <w:r>
        <w:rPr>
          <w:rFonts w:ascii="PT Astra Serif" w:hAnsi="PT Astra Serif"/>
          <w:sz w:val="28"/>
          <w:szCs w:val="28"/>
        </w:rPr>
        <w:t xml:space="preserve">5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eastAsia="Arial"/>
          <w:sz w:val="28"/>
          <w:szCs w:val="28"/>
        </w:rPr>
        <w:t xml:space="preserve">000 000, 00 рублей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pStyle w:val="668"/>
        <w:ind w:firstLine="709"/>
        <w:jc w:val="both"/>
        <w:rPr>
          <w:rFonts w:ascii="PT Astra Serif" w:hAnsi="PT Astra Serif" w:eastAsia="Arial" w:cs="PT Astra Serif"/>
          <w:sz w:val="28"/>
          <w:szCs w:val="28"/>
        </w:rPr>
      </w:pPr>
      <w:r>
        <w:rPr>
          <w:rFonts w:ascii="PT Astra Serif" w:hAnsi="PT Astra Serif" w:eastAsia="Arial" w:cs="PT Astra Serif"/>
          <w:sz w:val="28"/>
          <w:szCs w:val="28"/>
        </w:rPr>
        <w:t xml:space="preserve">Предоставление гранта победителю (победит</w:t>
      </w:r>
      <w:r>
        <w:rPr>
          <w:rFonts w:ascii="PT Astra Serif" w:hAnsi="PT Astra Serif" w:eastAsia="Arial" w:cs="PT Astra Serif"/>
          <w:sz w:val="28"/>
          <w:szCs w:val="28"/>
        </w:rPr>
        <w:t xml:space="preserve">елям) конкурса осуществляется Управлением в пределах бюджетных ассигнований по соответствующим направлениям, утвержденных согласно бюджетной росписи на текущий финансовый год, в отношении которых отсутствуют основания для отказа в предоставлении субсидии. </w:t>
      </w:r>
      <w:r/>
    </w:p>
    <w:p>
      <w:pPr>
        <w:pStyle w:val="668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Размер выделяемого из краевого бюджета гранта на поддержку одного проекта не может превышать 80 процентов от общей стоимости проекта, указанной в заявке, но не более 1 000 000, 00 рублей, кроме направления, указанного в </w:t>
      </w:r>
      <w:hyperlink r:id="rId10" w:tooltip="г) реализации некоммерческими организациями социально значимых проектов, ориентированных на развитие туризма в регионе, - обустройство объектов показа, включенных в предварительный список всемирного культурного и природного наследия ЮНЕСКО от Российской Ф" w:anchor="Par65" w:history="1">
        <w:r>
          <w:rPr>
            <w:rFonts w:ascii="PT Astra Serif" w:hAnsi="PT Astra Serif"/>
            <w:sz w:val="28"/>
            <w:szCs w:val="28"/>
          </w:rPr>
          <w:t xml:space="preserve">подпункте «г»</w:t>
        </w:r>
      </w:hyperlink>
      <w:r>
        <w:rPr>
          <w:rFonts w:ascii="PT Astra Serif" w:hAnsi="PT Astra Serif"/>
          <w:sz w:val="28"/>
          <w:szCs w:val="28"/>
        </w:rPr>
        <w:t xml:space="preserve">.</w:t>
      </w:r>
      <w:r/>
    </w:p>
    <w:p>
      <w:pPr>
        <w:pStyle w:val="668"/>
        <w:ind w:firstLine="709"/>
        <w:jc w:val="both"/>
        <w:rPr>
          <w:rFonts w:ascii="PT Astra Serif" w:hAnsi="PT Astra Serif" w:eastAsia="Arial"/>
          <w:sz w:val="28"/>
          <w:szCs w:val="28"/>
        </w:rPr>
      </w:pPr>
      <w:r>
        <w:rPr>
          <w:rFonts w:ascii="PT Astra Serif" w:hAnsi="PT Astra Serif" w:eastAsia="Arial"/>
          <w:sz w:val="28"/>
          <w:szCs w:val="28"/>
        </w:rPr>
        <w:t xml:space="preserve">Размер выделяемого из краевого бюджета гранта по направлению, указанному в </w:t>
      </w:r>
      <w:hyperlink r:id="rId11" w:tooltip="г) реализации некоммерческими организациями социально значимых проектов, ориентированных на развитие туризма в регионе, - обустройство объектов показа, включенных в предварительный список всемирного культурного и природного наследия ЮНЕСКО от Российской Ф" w:anchor="Par65" w:history="1">
        <w:r>
          <w:rPr>
            <w:rFonts w:ascii="PT Astra Serif" w:hAnsi="PT Astra Serif" w:eastAsia="Arial"/>
            <w:sz w:val="28"/>
            <w:szCs w:val="28"/>
          </w:rPr>
          <w:t xml:space="preserve">подпункте «г»</w:t>
        </w:r>
      </w:hyperlink>
      <w:r>
        <w:rPr>
          <w:rFonts w:ascii="PT Astra Serif" w:hAnsi="PT Astra Serif" w:eastAsia="Arial"/>
          <w:sz w:val="28"/>
          <w:szCs w:val="28"/>
        </w:rPr>
        <w:t xml:space="preserve">, не может превышать 99 процентов от общей стоимости проекта, указанной в заявке, но не более 10 000 000, 00 рублей. В случае начала реализации проекта до даты подачи заявки для участия в конкурсе допустим учет фактически понесенных затрат </w:t>
      </w:r>
      <w:r>
        <w:rPr>
          <w:rFonts w:ascii="PT Astra Serif" w:hAnsi="PT Astra Serif" w:eastAsia="Arial"/>
          <w:sz w:val="28"/>
          <w:szCs w:val="28"/>
        </w:rPr>
        <w:t xml:space="preserve">грантополучателя</w:t>
      </w:r>
      <w:r>
        <w:rPr>
          <w:rFonts w:ascii="PT Astra Serif" w:hAnsi="PT Astra Serif" w:eastAsia="Arial"/>
          <w:sz w:val="28"/>
          <w:szCs w:val="28"/>
        </w:rPr>
        <w:t xml:space="preserve"> в текущем финансовом году при условии их подтверждения. В общей стоимости проекта указанные затраты будут относиться к собственным средствам </w:t>
      </w:r>
      <w:r>
        <w:rPr>
          <w:rFonts w:ascii="PT Astra Serif" w:hAnsi="PT Astra Serif" w:eastAsia="Arial"/>
          <w:sz w:val="28"/>
          <w:szCs w:val="28"/>
        </w:rPr>
        <w:t xml:space="preserve">грантополучателя</w:t>
      </w:r>
      <w:r>
        <w:rPr>
          <w:rFonts w:ascii="PT Astra Serif" w:hAnsi="PT Astra Serif" w:eastAsia="Arial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sz w:val="28"/>
          <w:szCs w:val="28"/>
          <w:lang w:eastAsia="ru-RU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66220322"/>
      <w:docPartObj>
        <w:docPartGallery w:val="Page Numbers (Top of Page)"/>
        <w:docPartUnique w:val="true"/>
      </w:docPartObj>
      <w:rPr/>
    </w:sdtPr>
    <w:sdtContent>
      <w:p>
        <w:pPr>
          <w:pStyle w:val="66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9"/>
    <w:uiPriority w:val="34"/>
    <w:qFormat/>
    <w:pPr>
      <w:contextualSpacing/>
      <w:ind w:left="720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0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0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0"/>
    <w:link w:val="663"/>
    <w:uiPriority w:val="99"/>
  </w:style>
  <w:style w:type="character" w:styleId="45">
    <w:name w:val="Footer Char"/>
    <w:basedOn w:val="660"/>
    <w:link w:val="666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6"/>
    <w:uiPriority w:val="99"/>
  </w:style>
  <w:style w:type="table" w:styleId="48">
    <w:name w:val="Table Grid"/>
    <w:basedOn w:val="6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0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0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qFormat/>
    <w:pPr>
      <w:ind w:firstLine="0"/>
      <w:spacing w:after="160" w:line="259" w:lineRule="auto"/>
    </w:pPr>
  </w:style>
  <w:style w:type="character" w:styleId="660" w:default="1">
    <w:name w:val="Default Paragraph Font"/>
    <w:uiPriority w:val="1"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paragraph" w:styleId="663">
    <w:name w:val="Header"/>
    <w:basedOn w:val="659"/>
    <w:link w:val="6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4" w:customStyle="1">
    <w:name w:val="Верхний колонтитул Знак"/>
    <w:basedOn w:val="660"/>
    <w:link w:val="663"/>
    <w:uiPriority w:val="99"/>
  </w:style>
  <w:style w:type="paragraph" w:styleId="665" w:customStyle="1">
    <w:name w:val="ConsPlusNormal"/>
    <w:pPr>
      <w:ind w:firstLine="0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666">
    <w:name w:val="Footer"/>
    <w:basedOn w:val="659"/>
    <w:link w:val="6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7" w:customStyle="1">
    <w:name w:val="Нижний колонтитул Знак"/>
    <w:basedOn w:val="660"/>
    <w:link w:val="666"/>
    <w:uiPriority w:val="99"/>
  </w:style>
  <w:style w:type="paragraph" w:styleId="668">
    <w:name w:val="No Spacing"/>
    <w:uiPriority w:val="1"/>
    <w:qFormat/>
    <w:pPr>
      <w:ind w:firstLine="0"/>
    </w:pPr>
  </w:style>
  <w:style w:type="character" w:styleId="669">
    <w:name w:val="Hyperlink"/>
    <w:basedOn w:val="66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mailto:priem@alttur22.ru" TargetMode="External"/><Relationship Id="rId10" Type="http://schemas.openxmlformats.org/officeDocument/2006/relationships/hyperlink" Target="file:///Z:\!!_&#1043;&#1086;&#1089;%20&#1087;&#1086;&#1076;&#1076;&#1077;&#1088;&#1078;&#1082;&#1072;\2024\&#1048;&#1079;&#1084;&#1077;&#1085;&#1077;&#1085;&#1080;&#1103;%20&#1074;%20&#1091;&#1082;&#1072;&#1079;%20&#1043;&#1091;&#1073;&#1077;&#1088;&#1085;&#1072;&#1090;&#1086;&#1088;&#1072;%20&#8470;%20109\&#1055;&#1054;&#1051;&#1054;&#1046;&#1045;&#1053;&#1048;&#1045;.docx" TargetMode="External"/><Relationship Id="rId11" Type="http://schemas.openxmlformats.org/officeDocument/2006/relationships/hyperlink" Target="file:///Z:\!!_&#1043;&#1086;&#1089;%20&#1087;&#1086;&#1076;&#1076;&#1077;&#1088;&#1078;&#1082;&#1072;\2024\&#1048;&#1079;&#1084;&#1077;&#1085;&#1077;&#1085;&#1080;&#1103;%20&#1074;%20&#1091;&#1082;&#1072;&#1079;%20&#1043;&#1091;&#1073;&#1077;&#1088;&#1085;&#1072;&#1090;&#1086;&#1088;&#1072;%20&#8470;%20109\&#1055;&#1054;&#1051;&#1054;&#1046;&#1045;&#1053;&#1048;&#1045;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Вероника Валерьевна</dc:creator>
  <cp:keywords/>
  <dc:description/>
  <cp:revision>5</cp:revision>
  <dcterms:created xsi:type="dcterms:W3CDTF">2024-09-26T09:59:00Z</dcterms:created>
  <dcterms:modified xsi:type="dcterms:W3CDTF">2024-10-01T02:03:16Z</dcterms:modified>
</cp:coreProperties>
</file>