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76" w:rsidRDefault="00B04376" w:rsidP="00B04376">
      <w:pPr>
        <w:pStyle w:val="4"/>
        <w:shd w:val="clear" w:color="auto" w:fill="FFFFFF"/>
        <w:spacing w:before="0" w:line="300" w:lineRule="atLeast"/>
        <w:jc w:val="center"/>
        <w:rPr>
          <w:rFonts w:ascii="Roboto" w:hAnsi="Roboto"/>
          <w:b w:val="0"/>
          <w:bCs w:val="0"/>
          <w:color w:val="222222"/>
          <w:sz w:val="27"/>
          <w:szCs w:val="27"/>
        </w:rPr>
      </w:pPr>
      <w:r>
        <w:rPr>
          <w:rStyle w:val="a5"/>
          <w:rFonts w:ascii="Roboto" w:hAnsi="Roboto"/>
          <w:b/>
          <w:bCs/>
          <w:color w:val="000000"/>
          <w:sz w:val="27"/>
          <w:szCs w:val="27"/>
          <w:bdr w:val="none" w:sz="0" w:space="0" w:color="auto" w:frame="1"/>
        </w:rPr>
        <w:t xml:space="preserve">Методология </w:t>
      </w:r>
      <w:proofErr w:type="gramStart"/>
      <w:r>
        <w:rPr>
          <w:rStyle w:val="a5"/>
          <w:rFonts w:ascii="Roboto" w:hAnsi="Roboto"/>
          <w:b/>
          <w:bCs/>
          <w:color w:val="000000"/>
          <w:sz w:val="27"/>
          <w:szCs w:val="27"/>
          <w:bdr w:val="none" w:sz="0" w:space="0" w:color="auto" w:frame="1"/>
        </w:rPr>
        <w:t>Национального</w:t>
      </w:r>
      <w:proofErr w:type="gramEnd"/>
      <w:r>
        <w:rPr>
          <w:rStyle w:val="a5"/>
          <w:rFonts w:ascii="Roboto" w:hAnsi="Roboto"/>
          <w:b/>
          <w:bCs/>
          <w:color w:val="000000"/>
          <w:sz w:val="27"/>
          <w:szCs w:val="27"/>
          <w:bdr w:val="none" w:sz="0" w:space="0" w:color="auto" w:frame="1"/>
        </w:rPr>
        <w:t xml:space="preserve"> туристического рейтинга-2019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Критериями для оценки развития туристической отрасли российских регионов, их туристической привлекательности и туристического потенциала, популярности среди отечественных и иностранных туристов являются:</w:t>
      </w:r>
    </w:p>
    <w:p w:rsidR="00B04376" w:rsidRDefault="00B04376" w:rsidP="00B043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Уровень развития гостиничного бизнеса и инфраструктуры: 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Число коллективных средств размещения (гостиниц) в регионе.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Число мест в коллективных средствах размещения региона.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предоставлены Федеральной службой государственной статистики.</w:t>
      </w:r>
    </w:p>
    <w:p w:rsidR="00B04376" w:rsidRDefault="00B04376" w:rsidP="00B043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Значимость туристической отрасли в экономике региона: 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Число турфирм, работающих в регионе.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по количеству юридических лиц и индивидуальных предпринимателей за 2018 год предоставлены Федеральной службой государственной статистики.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 xml:space="preserve">– Доля </w:t>
      </w:r>
      <w:proofErr w:type="gramStart"/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занятых</w:t>
      </w:r>
      <w:proofErr w:type="gramEnd"/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 xml:space="preserve"> в сфере туризма и гостеприимства от общего населения региона.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по среднесписочной численности работников коллективных средств размещения и турфирм за 2017 год предоставлены Федеральной службой государственной статистики. Процент рассчитывается путем деления общего количества работников на все население региона и умножается на 100%.</w:t>
      </w:r>
    </w:p>
    <w:p w:rsidR="00B04376" w:rsidRDefault="00B04376" w:rsidP="00B043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Доходность отрасли туризма и гостеприимства региона: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Доходы коллективных средств размещения.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и 1-е полугодие 2019 года предоставлены Федеральной службой государственной статистики.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Объем платных туристических услуг населению (услуги туристических агентств, туроператоров и прочие услуги по бронированию и сопутствующие им услуги).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и январь–октябрь 2019 года предоставлены Федеральной службой государственной статистики.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 – Оборот общественного питания.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предоставлены Федеральной службой государственной статистики.</w:t>
      </w:r>
    </w:p>
    <w:p w:rsidR="00B04376" w:rsidRDefault="00B04376" w:rsidP="00B043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Популярность региона у туристов, приезжающих на несколько дней: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Число граждан РФ, размещенных в коллективных средствах размещения.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– Число ночевок в коллективных средствах размещения.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и январь–сентябрь 2019 года предоставлены Федеральной службой государственной статистики.</w:t>
      </w:r>
    </w:p>
    <w:p w:rsidR="00B04376" w:rsidRDefault="00B04376" w:rsidP="00B0437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Популярность региона у иностранцев: 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численность иностранных граждан, размещенных в коллективных средствах размещения.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и январь–сентябрь 2019 года предоставлены Федеральной службой государственной статистики.</w:t>
      </w:r>
    </w:p>
    <w:p w:rsidR="00B04376" w:rsidRDefault="00B04376" w:rsidP="00B0437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Туристская уникальность: 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количество памятников и достопримечательностей, внесенных в Единый государственный реестр объектов культурного наследия, в том числе объекты ЮНЕСКО.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предоставлены из Единого государственного реестра объектов культурного наследия по состоянию на ноябрь 2019 года.</w:t>
      </w:r>
    </w:p>
    <w:p w:rsidR="00B04376" w:rsidRDefault="00B04376" w:rsidP="00B0437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Уровень преступности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: состояние преступности на 100 тыс. населения.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Данные за 2018 год предоставлены Министерством внутренних дел РФ. Показатель рассчитывается на 100 тысяч населения. Формируется на основе данных формы федерального статистического наблюдения 4-ЕГС «Сведения о состоянии преступности и результатах расследования преступлений».</w:t>
      </w:r>
    </w:p>
    <w:p w:rsidR="00B04376" w:rsidRDefault="00B04376" w:rsidP="00B043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lastRenderedPageBreak/>
        <w:t>Интерес к региону в интернете как к месту отдыха: 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количество запросов в поисковых системах об отдыхе в регионе.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Рассчитывается по количеству запросов в период с 1 декабря 2018 года по 30 ноября 2019 года в поисковой системе Яндекс по ключевым словам: «Отдых в + наименование региона».</w:t>
      </w:r>
    </w:p>
    <w:p w:rsidR="00B04376" w:rsidRDefault="00B04376" w:rsidP="00B043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Продвижение туристического потенциала региона в информационном пространстве: 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количество публикаций и сообщений в СМИ.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Style w:val="a7"/>
          <w:rFonts w:ascii="Roboto" w:hAnsi="Roboto"/>
          <w:color w:val="000000"/>
          <w:sz w:val="26"/>
          <w:szCs w:val="26"/>
          <w:bdr w:val="none" w:sz="0" w:space="0" w:color="auto" w:frame="1"/>
        </w:rPr>
        <w:t>Рассчитывается по количеству публикаций в СМИ за период с 1 декабря 2018 года по 30 ноября 2019 года, в том числе на индексируемых новостных ресурсах, по ключевым словам: «Туризм в + наименование региона».</w:t>
      </w:r>
    </w:p>
    <w:p w:rsidR="00B04376" w:rsidRDefault="00B04376" w:rsidP="00B0437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По сравнению с прошлогодним исследованием методология рейтинга претерпела небольшие изменения. Так, составителям в этом году пришлось отказаться от критерия </w:t>
      </w:r>
      <w:r>
        <w:rPr>
          <w:rStyle w:val="a5"/>
          <w:rFonts w:ascii="Roboto" w:hAnsi="Roboto"/>
          <w:color w:val="000000"/>
          <w:sz w:val="26"/>
          <w:szCs w:val="26"/>
          <w:bdr w:val="none" w:sz="0" w:space="0" w:color="auto" w:frame="1"/>
        </w:rPr>
        <w:t>«Уровень развития санаторно-курортной отрасли региона» </w:t>
      </w:r>
      <w:r>
        <w:rPr>
          <w:rFonts w:ascii="Roboto" w:hAnsi="Roboto"/>
          <w:color w:val="000000"/>
          <w:sz w:val="26"/>
          <w:szCs w:val="26"/>
          <w:bdr w:val="none" w:sz="0" w:space="0" w:color="auto" w:frame="1"/>
        </w:rPr>
        <w:t>ввиду отсутствия актуальных статистических данных по некоторым субъектам РФ.</w:t>
      </w:r>
    </w:p>
    <w:p w:rsidR="00471021" w:rsidRDefault="00471021" w:rsidP="00B04376"/>
    <w:p w:rsidR="00730BF4" w:rsidRDefault="00730BF4" w:rsidP="00B04376">
      <w:r>
        <w:rPr>
          <w:rFonts w:ascii="Roboto" w:hAnsi="Roboto"/>
          <w:color w:val="000000"/>
          <w:sz w:val="26"/>
          <w:szCs w:val="26"/>
          <w:shd w:val="clear" w:color="auto" w:fill="FFFFFF"/>
        </w:rPr>
        <w:t>По каждому из критериев на основе анализа открытых источников и ведомственной статистики за 2018–2019 годы были подготовлены от одной до трех таблиц и проведено соответствующее ранжирование. Первое место в каждой таблице давало 8,5 балла. За каждое последующее место снималось по 0,1 балла. Так, 14 промежуточных таблиц образовали сводную таблицу, где по сумме общих баллов, с учетом экспертной оценки, были определены лидеры и аутсайдеры Национального туристического рейтинга.</w:t>
      </w:r>
      <w:bookmarkStart w:id="0" w:name="_GoBack"/>
      <w:bookmarkEnd w:id="0"/>
    </w:p>
    <w:p w:rsidR="00B04376" w:rsidRPr="00B04376" w:rsidRDefault="00B04376" w:rsidP="00B04376">
      <w:r>
        <w:t>Источник – rustur.ru.</w:t>
      </w:r>
    </w:p>
    <w:sectPr w:rsidR="00B04376" w:rsidRPr="00B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92F"/>
    <w:multiLevelType w:val="multilevel"/>
    <w:tmpl w:val="8A243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44CDE"/>
    <w:multiLevelType w:val="hybridMultilevel"/>
    <w:tmpl w:val="FE40727C"/>
    <w:lvl w:ilvl="0" w:tplc="E0B2AFB4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07D8C"/>
    <w:multiLevelType w:val="multilevel"/>
    <w:tmpl w:val="4DD8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D6B2E"/>
    <w:multiLevelType w:val="multilevel"/>
    <w:tmpl w:val="429E0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0020F"/>
    <w:multiLevelType w:val="multilevel"/>
    <w:tmpl w:val="45507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A6FE6"/>
    <w:multiLevelType w:val="multilevel"/>
    <w:tmpl w:val="2FB0D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63F49"/>
    <w:multiLevelType w:val="multilevel"/>
    <w:tmpl w:val="061248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360C5"/>
    <w:multiLevelType w:val="multilevel"/>
    <w:tmpl w:val="52620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F56FD"/>
    <w:multiLevelType w:val="multilevel"/>
    <w:tmpl w:val="E40C3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F6827"/>
    <w:multiLevelType w:val="multilevel"/>
    <w:tmpl w:val="EEC22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450B"/>
    <w:rsid w:val="0010540F"/>
    <w:rsid w:val="0011032D"/>
    <w:rsid w:val="00120C34"/>
    <w:rsid w:val="0012235C"/>
    <w:rsid w:val="00131709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B6D6E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072C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B4A43"/>
    <w:rsid w:val="004C2A35"/>
    <w:rsid w:val="004D1F3A"/>
    <w:rsid w:val="004D2B85"/>
    <w:rsid w:val="004E55E7"/>
    <w:rsid w:val="00520D1D"/>
    <w:rsid w:val="005250A3"/>
    <w:rsid w:val="00532A85"/>
    <w:rsid w:val="00544D2A"/>
    <w:rsid w:val="0055627D"/>
    <w:rsid w:val="005625E0"/>
    <w:rsid w:val="00567449"/>
    <w:rsid w:val="0057097C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B26B0"/>
    <w:rsid w:val="006C62BC"/>
    <w:rsid w:val="006D4B53"/>
    <w:rsid w:val="006E6FD3"/>
    <w:rsid w:val="006F034D"/>
    <w:rsid w:val="006F62D7"/>
    <w:rsid w:val="006F659F"/>
    <w:rsid w:val="00715F9B"/>
    <w:rsid w:val="00717B1C"/>
    <w:rsid w:val="00730BF4"/>
    <w:rsid w:val="007737E8"/>
    <w:rsid w:val="007B7EF5"/>
    <w:rsid w:val="007E2BB1"/>
    <w:rsid w:val="007E58AD"/>
    <w:rsid w:val="007E737E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3C71"/>
    <w:rsid w:val="00AD41F8"/>
    <w:rsid w:val="00AD4B1A"/>
    <w:rsid w:val="00AF5C71"/>
    <w:rsid w:val="00B04376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122C"/>
    <w:rsid w:val="00DC6901"/>
    <w:rsid w:val="00DE0BEF"/>
    <w:rsid w:val="00E071C2"/>
    <w:rsid w:val="00E213E4"/>
    <w:rsid w:val="00E22F0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EE35CB"/>
    <w:rsid w:val="00F129C5"/>
    <w:rsid w:val="00F23F78"/>
    <w:rsid w:val="00F57616"/>
    <w:rsid w:val="00F61A91"/>
    <w:rsid w:val="00F9141B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B4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1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31709"/>
  </w:style>
  <w:style w:type="character" w:customStyle="1" w:styleId="ezo">
    <w:name w:val="_ezo"/>
    <w:basedOn w:val="a0"/>
    <w:rsid w:val="00131709"/>
  </w:style>
  <w:style w:type="character" w:customStyle="1" w:styleId="50">
    <w:name w:val="Заголовок 5 Знак"/>
    <w:basedOn w:val="a0"/>
    <w:link w:val="5"/>
    <w:uiPriority w:val="9"/>
    <w:rsid w:val="004B4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B04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B4A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1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31709"/>
  </w:style>
  <w:style w:type="character" w:customStyle="1" w:styleId="ezo">
    <w:name w:val="_ezo"/>
    <w:basedOn w:val="a0"/>
    <w:rsid w:val="00131709"/>
  </w:style>
  <w:style w:type="character" w:customStyle="1" w:styleId="50">
    <w:name w:val="Заголовок 5 Знак"/>
    <w:basedOn w:val="a0"/>
    <w:link w:val="5"/>
    <w:uiPriority w:val="9"/>
    <w:rsid w:val="004B4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4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B04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2019-12-23T07:50:00Z</dcterms:created>
  <dcterms:modified xsi:type="dcterms:W3CDTF">2019-12-23T07:52:00Z</dcterms:modified>
</cp:coreProperties>
</file>